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4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1"/>
        <w:gridCol w:w="8568"/>
      </w:tblGrid>
      <w:tr w:rsidR="00FA1B5F" w:rsidRPr="00461683" w14:paraId="441B3256" w14:textId="77777777" w:rsidTr="00AA7568">
        <w:trPr>
          <w:trHeight w:val="873"/>
          <w:jc w:val="center"/>
        </w:trPr>
        <w:tc>
          <w:tcPr>
            <w:tcW w:w="1881" w:type="dxa"/>
          </w:tcPr>
          <w:p w14:paraId="0660E79A" w14:textId="77777777" w:rsidR="00FA1B5F" w:rsidRPr="00461683" w:rsidRDefault="00FA1B5F" w:rsidP="00FA1B5F">
            <w:pPr>
              <w:rPr>
                <w:rFonts w:ascii="Arial Narrow" w:hAnsi="Arial Narrow" w:cs="Times New Roman"/>
                <w:b/>
                <w:sz w:val="26"/>
                <w:szCs w:val="26"/>
              </w:rPr>
            </w:pPr>
            <w:r w:rsidRPr="00461683">
              <w:rPr>
                <w:rFonts w:ascii="Arial Narrow" w:hAnsi="Arial Narrow" w:cs="Times New Roman"/>
                <w:b/>
                <w:sz w:val="26"/>
                <w:szCs w:val="26"/>
              </w:rPr>
              <w:t xml:space="preserve">TITLE </w:t>
            </w:r>
          </w:p>
        </w:tc>
        <w:tc>
          <w:tcPr>
            <w:tcW w:w="8568" w:type="dxa"/>
          </w:tcPr>
          <w:p w14:paraId="4EA1A442" w14:textId="77777777" w:rsidR="00FA1B5F" w:rsidRDefault="00FA1B5F" w:rsidP="00FA1B5F">
            <w:pPr>
              <w:rPr>
                <w:rFonts w:ascii="Arial Narrow" w:hAnsi="Arial Narrow" w:cs="Times New Roman"/>
                <w:b/>
                <w:sz w:val="26"/>
                <w:szCs w:val="26"/>
              </w:rPr>
            </w:pPr>
            <w:r w:rsidRPr="00461683">
              <w:rPr>
                <w:rFonts w:ascii="Arial Narrow" w:hAnsi="Arial Narrow" w:cs="Times New Roman"/>
                <w:b/>
                <w:sz w:val="26"/>
                <w:szCs w:val="26"/>
              </w:rPr>
              <w:t xml:space="preserve">NEOCARYAFLAVONOSIDE A FROM </w:t>
            </w:r>
            <w:r w:rsidRPr="00461683">
              <w:rPr>
                <w:rStyle w:val="Emphasis"/>
                <w:rFonts w:ascii="Arial Narrow" w:hAnsi="Arial Narrow" w:cs="Times New Roman"/>
                <w:b/>
                <w:sz w:val="26"/>
                <w:szCs w:val="26"/>
              </w:rPr>
              <w:t>NEOCARYA       MACROPHYLLA</w:t>
            </w:r>
            <w:r w:rsidRPr="00461683">
              <w:rPr>
                <w:rFonts w:ascii="Arial Narrow" w:hAnsi="Arial Narrow" w:cs="Times New Roman"/>
                <w:b/>
                <w:sz w:val="26"/>
                <w:szCs w:val="26"/>
              </w:rPr>
              <w:t xml:space="preserve"> AS A POTENTIAL ANTI-TNBC AGENT</w:t>
            </w:r>
          </w:p>
          <w:p w14:paraId="2A27635A" w14:textId="77777777" w:rsidR="0070725F" w:rsidRPr="00461683" w:rsidRDefault="0070725F" w:rsidP="00FA1B5F">
            <w:pPr>
              <w:rPr>
                <w:rFonts w:ascii="Arial Narrow" w:hAnsi="Arial Narrow" w:cs="Times New Roman"/>
                <w:b/>
                <w:sz w:val="26"/>
                <w:szCs w:val="26"/>
              </w:rPr>
            </w:pPr>
          </w:p>
        </w:tc>
      </w:tr>
      <w:tr w:rsidR="00FA1B5F" w:rsidRPr="00461683" w14:paraId="1E5F579A" w14:textId="77777777" w:rsidTr="00AA7568">
        <w:trPr>
          <w:trHeight w:val="558"/>
          <w:jc w:val="center"/>
        </w:trPr>
        <w:tc>
          <w:tcPr>
            <w:tcW w:w="1881" w:type="dxa"/>
          </w:tcPr>
          <w:p w14:paraId="6266E163" w14:textId="77777777" w:rsidR="00FA1B5F" w:rsidRPr="00461683" w:rsidRDefault="00FA1B5F" w:rsidP="00FA1B5F">
            <w:pPr>
              <w:rPr>
                <w:rFonts w:ascii="Arial Narrow" w:hAnsi="Arial Narrow" w:cs="Times New Roman"/>
                <w:b/>
                <w:sz w:val="26"/>
                <w:szCs w:val="26"/>
              </w:rPr>
            </w:pPr>
            <w:r w:rsidRPr="00461683">
              <w:rPr>
                <w:rFonts w:ascii="Arial Narrow" w:hAnsi="Arial Narrow" w:cs="Times New Roman"/>
                <w:b/>
                <w:sz w:val="26"/>
                <w:szCs w:val="26"/>
              </w:rPr>
              <w:t>AUTHORS</w:t>
            </w:r>
          </w:p>
        </w:tc>
        <w:tc>
          <w:tcPr>
            <w:tcW w:w="8568" w:type="dxa"/>
          </w:tcPr>
          <w:p w14:paraId="1FE16C22" w14:textId="77777777" w:rsidR="00FA1B5F" w:rsidRDefault="00FA1B5F" w:rsidP="00A0790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461683">
              <w:rPr>
                <w:rFonts w:ascii="Arial Narrow" w:hAnsi="Arial Narrow" w:cs="Times New Roman"/>
                <w:sz w:val="24"/>
                <w:szCs w:val="24"/>
              </w:rPr>
              <w:t>AJ Yusuf, S</w:t>
            </w:r>
            <w:r w:rsidR="00A0790E" w:rsidRPr="00461683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461683">
              <w:rPr>
                <w:rFonts w:ascii="Arial Narrow" w:hAnsi="Arial Narrow" w:cs="Times New Roman"/>
                <w:sz w:val="24"/>
                <w:szCs w:val="24"/>
              </w:rPr>
              <w:t>Kamran, J Obadipe, M Salihu, J Peng</w:t>
            </w:r>
          </w:p>
          <w:p w14:paraId="25FE0DAC" w14:textId="77777777" w:rsidR="0070725F" w:rsidRPr="00461683" w:rsidRDefault="0070725F" w:rsidP="00A0790E">
            <w:pPr>
              <w:rPr>
                <w:rFonts w:ascii="Arial Narrow" w:hAnsi="Arial Narrow" w:cs="Times New Roman"/>
                <w:b/>
                <w:sz w:val="26"/>
                <w:szCs w:val="26"/>
              </w:rPr>
            </w:pPr>
          </w:p>
        </w:tc>
      </w:tr>
      <w:tr w:rsidR="00FA1B5F" w:rsidRPr="00461683" w14:paraId="4C89470C" w14:textId="77777777" w:rsidTr="00AA7568">
        <w:trPr>
          <w:trHeight w:val="1882"/>
          <w:jc w:val="center"/>
        </w:trPr>
        <w:tc>
          <w:tcPr>
            <w:tcW w:w="1881" w:type="dxa"/>
          </w:tcPr>
          <w:p w14:paraId="4AB079CC" w14:textId="77777777" w:rsidR="00FA1B5F" w:rsidRPr="00461683" w:rsidRDefault="00FA1B5F" w:rsidP="00FA1B5F">
            <w:pPr>
              <w:rPr>
                <w:rFonts w:ascii="Arial Narrow" w:hAnsi="Arial Narrow" w:cs="Times New Roman"/>
                <w:b/>
                <w:sz w:val="26"/>
                <w:szCs w:val="26"/>
              </w:rPr>
            </w:pPr>
            <w:r w:rsidRPr="00461683">
              <w:rPr>
                <w:rFonts w:ascii="Arial Narrow" w:hAnsi="Arial Narrow" w:cs="Times New Roman"/>
                <w:b/>
                <w:sz w:val="26"/>
                <w:szCs w:val="26"/>
              </w:rPr>
              <w:t>AFFILIATIONS</w:t>
            </w:r>
          </w:p>
        </w:tc>
        <w:tc>
          <w:tcPr>
            <w:tcW w:w="8568" w:type="dxa"/>
          </w:tcPr>
          <w:p w14:paraId="6F3D728E" w14:textId="77777777" w:rsidR="00FA1B5F" w:rsidRDefault="00FA1B5F" w:rsidP="00A0790E">
            <w:pPr>
              <w:pStyle w:val="NormalWeb"/>
              <w:jc w:val="both"/>
              <w:rPr>
                <w:rFonts w:ascii="Arial Narrow" w:hAnsi="Arial Narrow"/>
              </w:rPr>
            </w:pPr>
            <w:r w:rsidRPr="00461683">
              <w:rPr>
                <w:rFonts w:ascii="Arial Narrow" w:hAnsi="Arial Narrow"/>
                <w:color w:val="000000"/>
              </w:rPr>
              <w:t>Department of Chemistry</w:t>
            </w:r>
            <w:r w:rsidRPr="00461683">
              <w:rPr>
                <w:rFonts w:ascii="Arial Narrow" w:hAnsi="Arial Narrow"/>
              </w:rPr>
              <w:t xml:space="preserve">, </w:t>
            </w:r>
            <w:r w:rsidRPr="00461683">
              <w:rPr>
                <w:rFonts w:ascii="Arial Narrow" w:hAnsi="Arial Narrow"/>
                <w:color w:val="000000"/>
              </w:rPr>
              <w:t>Morgan State University, Maryland 21251 (</w:t>
            </w:r>
            <w:r w:rsidR="00A0790E" w:rsidRPr="00461683">
              <w:rPr>
                <w:rFonts w:ascii="Arial Narrow" w:hAnsi="Arial Narrow"/>
              </w:rPr>
              <w:t>AJ Yusuf, S Kamran, J Peng)</w:t>
            </w:r>
            <w:r w:rsidR="00A0790E" w:rsidRPr="00461683">
              <w:rPr>
                <w:rFonts w:ascii="Arial Narrow" w:hAnsi="Arial Narrow"/>
                <w:color w:val="000000"/>
              </w:rPr>
              <w:t>;</w:t>
            </w:r>
            <w:r w:rsidRPr="00461683">
              <w:rPr>
                <w:rFonts w:ascii="Arial Narrow" w:hAnsi="Arial Narrow"/>
                <w:color w:val="000000"/>
              </w:rPr>
              <w:t xml:space="preserve"> </w:t>
            </w:r>
            <w:r w:rsidR="00A0790E" w:rsidRPr="00461683">
              <w:rPr>
                <w:rFonts w:ascii="Arial Narrow" w:hAnsi="Arial Narrow"/>
                <w:color w:val="000000"/>
              </w:rPr>
              <w:t xml:space="preserve">Department of Biology, Morgan State University (J </w:t>
            </w:r>
            <w:r w:rsidR="00A0790E" w:rsidRPr="00461683">
              <w:rPr>
                <w:rFonts w:ascii="Arial Narrow" w:hAnsi="Arial Narrow"/>
              </w:rPr>
              <w:t xml:space="preserve">Obadipe) </w:t>
            </w:r>
            <w:r w:rsidRPr="00461683">
              <w:rPr>
                <w:rFonts w:ascii="Arial Narrow" w:hAnsi="Arial Narrow"/>
              </w:rPr>
              <w:t>Department of Pharmaceutical and Medicinal Chemistry</w:t>
            </w:r>
            <w:r w:rsidR="00A0790E" w:rsidRPr="00461683">
              <w:rPr>
                <w:rFonts w:ascii="Arial Narrow" w:hAnsi="Arial Narrow"/>
              </w:rPr>
              <w:t xml:space="preserve"> (AJ Yusuf, M Salihu); </w:t>
            </w:r>
            <w:r w:rsidRPr="00461683">
              <w:rPr>
                <w:rFonts w:ascii="Arial Narrow" w:hAnsi="Arial Narrow"/>
                <w:lang w:val="en-GB"/>
              </w:rPr>
              <w:t xml:space="preserve">Center for Advanced Medical Research and Training, </w:t>
            </w:r>
            <w:r w:rsidRPr="00461683">
              <w:rPr>
                <w:rFonts w:ascii="Arial Narrow" w:hAnsi="Arial Narrow"/>
              </w:rPr>
              <w:t>Usmanu Danfodiyo University, Sokoto, Nigeria</w:t>
            </w:r>
            <w:r w:rsidR="00A0790E" w:rsidRPr="00461683">
              <w:rPr>
                <w:rFonts w:ascii="Arial Narrow" w:hAnsi="Arial Narrow"/>
              </w:rPr>
              <w:t xml:space="preserve"> (AJ Yusuf)</w:t>
            </w:r>
            <w:r w:rsidRPr="00461683">
              <w:rPr>
                <w:rFonts w:ascii="Arial Narrow" w:hAnsi="Arial Narrow"/>
              </w:rPr>
              <w:t xml:space="preserve"> </w:t>
            </w:r>
          </w:p>
          <w:p w14:paraId="23609D8F" w14:textId="77777777" w:rsidR="0070725F" w:rsidRPr="00461683" w:rsidRDefault="0070725F" w:rsidP="00A0790E">
            <w:pPr>
              <w:pStyle w:val="NormalWeb"/>
              <w:jc w:val="both"/>
              <w:rPr>
                <w:rFonts w:ascii="Arial Narrow" w:hAnsi="Arial Narrow"/>
              </w:rPr>
            </w:pPr>
          </w:p>
        </w:tc>
      </w:tr>
      <w:tr w:rsidR="00FA1B5F" w:rsidRPr="00461683" w14:paraId="049798CB" w14:textId="77777777" w:rsidTr="00AA7568">
        <w:trPr>
          <w:trHeight w:val="7000"/>
          <w:jc w:val="center"/>
        </w:trPr>
        <w:tc>
          <w:tcPr>
            <w:tcW w:w="1881" w:type="dxa"/>
          </w:tcPr>
          <w:p w14:paraId="497777DE" w14:textId="77777777" w:rsidR="00FA1B5F" w:rsidRPr="00461683" w:rsidRDefault="00461683" w:rsidP="00FA1B5F">
            <w:pPr>
              <w:rPr>
                <w:rFonts w:ascii="Arial Narrow" w:hAnsi="Arial Narrow" w:cs="Times New Roman"/>
                <w:b/>
                <w:sz w:val="26"/>
                <w:szCs w:val="26"/>
              </w:rPr>
            </w:pPr>
            <w:r w:rsidRPr="00461683">
              <w:rPr>
                <w:rFonts w:ascii="Arial Narrow" w:hAnsi="Arial Narrow" w:cs="Times New Roman"/>
                <w:b/>
                <w:sz w:val="26"/>
                <w:szCs w:val="26"/>
              </w:rPr>
              <w:t>ABSTRACT TEXT</w:t>
            </w:r>
          </w:p>
        </w:tc>
        <w:tc>
          <w:tcPr>
            <w:tcW w:w="8568" w:type="dxa"/>
          </w:tcPr>
          <w:p w14:paraId="073E57B1" w14:textId="77777777" w:rsidR="00461683" w:rsidRDefault="00461683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PURPOSE</w:t>
            </w:r>
          </w:p>
          <w:p w14:paraId="7DB6E52F" w14:textId="77777777" w:rsidR="00461683" w:rsidRDefault="00461683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 w:rsidRPr="00461683">
              <w:rPr>
                <w:rFonts w:ascii="Arial Narrow" w:hAnsi="Arial Narrow"/>
              </w:rPr>
              <w:t>Triple-negative breast cancer (TNBC) is an aggressive subtype of breast cancer with limited targeted treatment options, highlighting the need for novel therapeutic agents</w:t>
            </w:r>
            <w:r>
              <w:rPr>
                <w:rFonts w:ascii="Arial Narrow" w:hAnsi="Arial Narrow"/>
              </w:rPr>
              <w:t xml:space="preserve">. The aim of the study was to isolate a bioactive compound with anticancer effect against triple negative cell line. </w:t>
            </w:r>
          </w:p>
          <w:p w14:paraId="6C832BA4" w14:textId="77777777" w:rsidR="00854CFB" w:rsidRDefault="00854CFB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</w:p>
          <w:p w14:paraId="7F2E1E3F" w14:textId="77777777" w:rsidR="00854CFB" w:rsidRDefault="00854CFB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METHODS</w:t>
            </w:r>
          </w:p>
          <w:p w14:paraId="274B57D7" w14:textId="77777777" w:rsidR="00854CFB" w:rsidRDefault="00854CFB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 w:rsidRPr="00461683">
              <w:rPr>
                <w:rFonts w:ascii="Arial Narrow" w:hAnsi="Arial Narrow"/>
              </w:rPr>
              <w:t xml:space="preserve">In this study, Neocaryaflavonoside A (F4a), an acylated flavonoid glycoside, was isolated from </w:t>
            </w:r>
            <w:r w:rsidRPr="00461683">
              <w:rPr>
                <w:rStyle w:val="Emphasis"/>
                <w:rFonts w:ascii="Arial Narrow" w:hAnsi="Arial Narrow"/>
              </w:rPr>
              <w:t>Neocarya macrophylla</w:t>
            </w:r>
            <w:r w:rsidRPr="00461683">
              <w:rPr>
                <w:rFonts w:ascii="Arial Narrow" w:hAnsi="Arial Narrow"/>
              </w:rPr>
              <w:t xml:space="preserve"> using preparative thin-layer chromatography and structurally characterized by NMR spectroscopy. The antiproliferative activity of F4a was evaluated against HCC1806 TNBC cells following 72 h treatment</w:t>
            </w:r>
            <w:r>
              <w:rPr>
                <w:rFonts w:ascii="Arial Narrow" w:hAnsi="Arial Narrow"/>
              </w:rPr>
              <w:t>.</w:t>
            </w:r>
          </w:p>
          <w:p w14:paraId="10759DD0" w14:textId="77777777" w:rsidR="00854CFB" w:rsidRDefault="00854CFB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</w:p>
          <w:p w14:paraId="0B33EBB7" w14:textId="77777777" w:rsidR="00854CFB" w:rsidRDefault="00854CFB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RESULTS</w:t>
            </w:r>
          </w:p>
          <w:p w14:paraId="61E672F7" w14:textId="77777777" w:rsidR="00854CFB" w:rsidRDefault="00854CFB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 w:rsidRPr="00461683">
              <w:rPr>
                <w:rFonts w:ascii="Arial Narrow" w:hAnsi="Arial Narrow"/>
              </w:rPr>
              <w:t>F4a demonstrated potent dose-dependent cytotoxicity with an IC</w:t>
            </w:r>
            <w:r w:rsidRPr="00461683">
              <w:rPr>
                <w:rFonts w:ascii="Cambria Math" w:hAnsi="Cambria Math" w:cs="Cambria Math"/>
              </w:rPr>
              <w:t>₅₀</w:t>
            </w:r>
            <w:r w:rsidRPr="00461683">
              <w:rPr>
                <w:rFonts w:ascii="Arial Narrow" w:hAnsi="Arial Narrow"/>
              </w:rPr>
              <w:t xml:space="preserve"> value of 2.11 </w:t>
            </w:r>
            <w:r w:rsidRPr="00461683">
              <w:rPr>
                <w:rFonts w:ascii="Arial Narrow" w:hAnsi="Arial Narrow" w:cs="Arial Narrow"/>
              </w:rPr>
              <w:t>µ</w:t>
            </w:r>
            <w:r w:rsidRPr="00461683">
              <w:rPr>
                <w:rFonts w:ascii="Arial Narrow" w:hAnsi="Arial Narrow"/>
              </w:rPr>
              <w:t>g/</w:t>
            </w:r>
            <w:proofErr w:type="spellStart"/>
            <w:r w:rsidRPr="00461683">
              <w:rPr>
                <w:rFonts w:ascii="Arial Narrow" w:hAnsi="Arial Narrow"/>
              </w:rPr>
              <w:t>mL.</w:t>
            </w:r>
            <w:proofErr w:type="spellEnd"/>
            <w:r w:rsidRPr="00461683">
              <w:rPr>
                <w:rFonts w:ascii="Arial Narrow" w:hAnsi="Arial Narrow"/>
              </w:rPr>
              <w:t xml:space="preserve"> Molecular docking analysis revealed strong binding affinity toward epidermal growth factor receptor (EGFR) with a docking score of </w:t>
            </w:r>
            <w:r w:rsidRPr="00461683">
              <w:rPr>
                <w:rFonts w:ascii="Arial Narrow" w:hAnsi="Arial Narrow" w:cs="Arial Narrow"/>
              </w:rPr>
              <w:t>−</w:t>
            </w:r>
            <w:r w:rsidRPr="00461683">
              <w:rPr>
                <w:rFonts w:ascii="Arial Narrow" w:hAnsi="Arial Narrow"/>
              </w:rPr>
              <w:t>7.9 kcal/mol, exceeding that of the native ligand (</w:t>
            </w:r>
            <w:r w:rsidRPr="00461683">
              <w:rPr>
                <w:rFonts w:ascii="Arial Narrow" w:hAnsi="Arial Narrow" w:cs="Arial Narrow"/>
              </w:rPr>
              <w:t>−</w:t>
            </w:r>
            <w:r w:rsidRPr="00461683">
              <w:rPr>
                <w:rFonts w:ascii="Arial Narrow" w:hAnsi="Arial Narrow"/>
              </w:rPr>
              <w:t xml:space="preserve">6.9 kcal/mol), while moderate interaction was observed against PI3K (−8.2 kcal/mol). ADMET prediction indicated poor aqueous solubility, low permeability, limited oral bioavailability, and possible CYP-mediated drug interactions. In addition, hepatotoxicity and </w:t>
            </w:r>
            <w:proofErr w:type="spellStart"/>
            <w:r w:rsidRPr="00461683">
              <w:rPr>
                <w:rFonts w:ascii="Arial Narrow" w:hAnsi="Arial Narrow"/>
              </w:rPr>
              <w:t>hERG</w:t>
            </w:r>
            <w:proofErr w:type="spellEnd"/>
            <w:r w:rsidRPr="00461683">
              <w:rPr>
                <w:rFonts w:ascii="Arial Narrow" w:hAnsi="Arial Narrow"/>
              </w:rPr>
              <w:t xml:space="preserve"> inhibition risks were predicted.</w:t>
            </w:r>
          </w:p>
          <w:p w14:paraId="60D5635E" w14:textId="77777777" w:rsidR="00854CFB" w:rsidRDefault="00854CFB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</w:p>
          <w:p w14:paraId="7551EDBA" w14:textId="77777777" w:rsidR="00854CFB" w:rsidRDefault="00854CFB" w:rsidP="00461683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DISCUSSION/ CONCLUSION</w:t>
            </w:r>
          </w:p>
          <w:p w14:paraId="6319FDF1" w14:textId="77777777" w:rsidR="00461683" w:rsidRDefault="00854CFB" w:rsidP="00854CF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 w:rsidRPr="00461683">
              <w:rPr>
                <w:rFonts w:ascii="Arial Narrow" w:hAnsi="Arial Narrow"/>
              </w:rPr>
              <w:t>Despite these pharmacokinetic limitations, the findings suggest that F4a possesses promising anti-TNBC potential and may serve as a lead scaffold for the development of novel EGFR-targeted anticancer agents following further structural optimization</w:t>
            </w:r>
            <w:r>
              <w:rPr>
                <w:rFonts w:ascii="Arial Narrow" w:hAnsi="Arial Narrow"/>
              </w:rPr>
              <w:t>.</w:t>
            </w:r>
          </w:p>
          <w:p w14:paraId="772FECAD" w14:textId="77777777" w:rsidR="0070725F" w:rsidRPr="00461683" w:rsidRDefault="0070725F" w:rsidP="00854CF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</w:p>
        </w:tc>
      </w:tr>
      <w:tr w:rsidR="00854CFB" w:rsidRPr="00461683" w14:paraId="2D8B9EA5" w14:textId="77777777" w:rsidTr="00AA7568">
        <w:trPr>
          <w:trHeight w:val="1882"/>
          <w:jc w:val="center"/>
        </w:trPr>
        <w:tc>
          <w:tcPr>
            <w:tcW w:w="1881" w:type="dxa"/>
          </w:tcPr>
          <w:p w14:paraId="46CD659C" w14:textId="77777777" w:rsidR="00854CFB" w:rsidRPr="00461683" w:rsidRDefault="00854CFB" w:rsidP="00FA1B5F">
            <w:pPr>
              <w:rPr>
                <w:rFonts w:ascii="Arial Narrow" w:hAnsi="Arial Narrow" w:cs="Times New Roman"/>
                <w:b/>
                <w:sz w:val="26"/>
                <w:szCs w:val="26"/>
              </w:rPr>
            </w:pPr>
            <w:r>
              <w:rPr>
                <w:rFonts w:ascii="Arial Narrow" w:hAnsi="Arial Narrow" w:cs="Times New Roman"/>
                <w:b/>
                <w:sz w:val="26"/>
                <w:szCs w:val="26"/>
              </w:rPr>
              <w:t>GRANT SUPPORT</w:t>
            </w:r>
          </w:p>
        </w:tc>
        <w:tc>
          <w:tcPr>
            <w:tcW w:w="8568" w:type="dxa"/>
          </w:tcPr>
          <w:p w14:paraId="50BFDE8C" w14:textId="77777777" w:rsidR="00854CFB" w:rsidRDefault="00854CFB" w:rsidP="00854CFB">
            <w:pPr>
              <w:pStyle w:val="NormalWeb"/>
              <w:rPr>
                <w:rFonts w:ascii="Arial Narrow" w:hAnsi="Arial Narrow"/>
              </w:rPr>
            </w:pPr>
            <w:r w:rsidRPr="00854CFB">
              <w:rPr>
                <w:rFonts w:ascii="Arial Narrow" w:hAnsi="Arial Narrow"/>
              </w:rPr>
              <w:t xml:space="preserve">This research was supported by the TETFund National Research Fund (NRF) under Grant No. </w:t>
            </w:r>
            <w:r w:rsidRPr="00854CFB">
              <w:rPr>
                <w:rFonts w:ascii="Arial Narrow" w:hAnsi="Arial Narrow"/>
                <w:b/>
                <w:bCs/>
              </w:rPr>
              <w:t>TETF/ES/DR&amp;D-CE/NRF-2023/SETI/HSW/00123/VOL.I</w:t>
            </w:r>
            <w:r w:rsidRPr="00854CFB">
              <w:rPr>
                <w:rFonts w:ascii="Arial Narrow" w:hAnsi="Arial Narrow"/>
              </w:rPr>
              <w:t xml:space="preserve">. Core research facilities used in this study were supported by the National Institute on Minority Health and Health Disparities (NIMHD) under Award No. </w:t>
            </w:r>
            <w:r w:rsidRPr="00854CFB">
              <w:rPr>
                <w:rFonts w:ascii="Arial Narrow" w:hAnsi="Arial Narrow"/>
                <w:b/>
                <w:bCs/>
              </w:rPr>
              <w:t>5U54MD013376</w:t>
            </w:r>
            <w:r w:rsidRPr="00854CFB">
              <w:rPr>
                <w:rFonts w:ascii="Arial Narrow" w:hAnsi="Arial Narrow"/>
              </w:rPr>
              <w:t xml:space="preserve"> and the National Institute of General Medical Sciences (NIGMS) under Award No. </w:t>
            </w:r>
            <w:r w:rsidRPr="00854CFB">
              <w:rPr>
                <w:rFonts w:ascii="Arial Narrow" w:hAnsi="Arial Narrow"/>
                <w:b/>
                <w:bCs/>
              </w:rPr>
              <w:t>5UL1GM118973</w:t>
            </w:r>
            <w:r w:rsidRPr="00854CFB">
              <w:rPr>
                <w:rFonts w:ascii="Arial Narrow" w:hAnsi="Arial Narrow"/>
              </w:rPr>
              <w:t>.</w:t>
            </w:r>
          </w:p>
          <w:p w14:paraId="6BC988A2" w14:textId="77777777" w:rsidR="0070725F" w:rsidRDefault="0070725F" w:rsidP="00854CFB">
            <w:pPr>
              <w:pStyle w:val="NormalWeb"/>
              <w:rPr>
                <w:rFonts w:ascii="Arial Narrow" w:hAnsi="Arial Narrow"/>
              </w:rPr>
            </w:pPr>
          </w:p>
        </w:tc>
      </w:tr>
      <w:tr w:rsidR="00854CFB" w:rsidRPr="00461683" w14:paraId="78EBFA77" w14:textId="77777777" w:rsidTr="00AA7568">
        <w:trPr>
          <w:trHeight w:val="287"/>
          <w:jc w:val="center"/>
        </w:trPr>
        <w:tc>
          <w:tcPr>
            <w:tcW w:w="1881" w:type="dxa"/>
          </w:tcPr>
          <w:p w14:paraId="6051FA14" w14:textId="77777777" w:rsidR="00854CFB" w:rsidRDefault="00854CFB" w:rsidP="00FA1B5F">
            <w:pPr>
              <w:rPr>
                <w:rFonts w:ascii="Arial Narrow" w:hAnsi="Arial Narrow" w:cs="Times New Roman"/>
                <w:b/>
                <w:sz w:val="26"/>
                <w:szCs w:val="26"/>
              </w:rPr>
            </w:pPr>
            <w:r>
              <w:rPr>
                <w:rFonts w:ascii="Arial Narrow" w:hAnsi="Arial Narrow" w:cs="Times New Roman"/>
                <w:b/>
                <w:sz w:val="26"/>
                <w:szCs w:val="26"/>
              </w:rPr>
              <w:t>KEYWORDS</w:t>
            </w:r>
          </w:p>
        </w:tc>
        <w:tc>
          <w:tcPr>
            <w:tcW w:w="8568" w:type="dxa"/>
          </w:tcPr>
          <w:p w14:paraId="43F3BED0" w14:textId="77777777" w:rsidR="00854CFB" w:rsidRPr="00854CFB" w:rsidRDefault="00854CFB" w:rsidP="00854CFB">
            <w:pPr>
              <w:pStyle w:val="NormalWeb"/>
              <w:rPr>
                <w:rFonts w:ascii="Arial Narrow" w:hAnsi="Arial Narrow"/>
              </w:rPr>
            </w:pPr>
            <w:r w:rsidRPr="00461683">
              <w:rPr>
                <w:rFonts w:ascii="Arial Narrow" w:hAnsi="Arial Narrow"/>
              </w:rPr>
              <w:t xml:space="preserve">Neocaryaflavonoside A; </w:t>
            </w:r>
            <w:r w:rsidRPr="00461683">
              <w:rPr>
                <w:rFonts w:ascii="Arial Narrow" w:hAnsi="Arial Narrow"/>
                <w:i/>
                <w:iCs/>
              </w:rPr>
              <w:t>Neocarya macrophylla</w:t>
            </w:r>
            <w:r w:rsidRPr="00461683">
              <w:rPr>
                <w:rFonts w:ascii="Arial Narrow" w:hAnsi="Arial Narrow"/>
                <w:iCs/>
              </w:rPr>
              <w:t xml:space="preserve">; </w:t>
            </w:r>
            <w:r w:rsidRPr="00461683">
              <w:rPr>
                <w:rFonts w:ascii="Arial Narrow" w:hAnsi="Arial Narrow"/>
              </w:rPr>
              <w:t xml:space="preserve">TNBC; </w:t>
            </w:r>
            <w:r w:rsidRPr="00461683">
              <w:rPr>
                <w:rFonts w:ascii="Arial Narrow" w:hAnsi="Arial Narrow"/>
                <w:i/>
              </w:rPr>
              <w:t>In silico</w:t>
            </w:r>
            <w:r w:rsidRPr="00461683">
              <w:rPr>
                <w:rFonts w:ascii="Arial Narrow" w:hAnsi="Arial Narrow"/>
              </w:rPr>
              <w:t>; ADMET profiling</w:t>
            </w:r>
          </w:p>
        </w:tc>
      </w:tr>
    </w:tbl>
    <w:p w14:paraId="0FF49D52" w14:textId="77777777" w:rsidR="00FA1B5F" w:rsidRPr="00461683" w:rsidRDefault="00FA1B5F" w:rsidP="00FA1B5F">
      <w:pPr>
        <w:rPr>
          <w:rFonts w:ascii="Arial Narrow" w:hAnsi="Arial Narrow" w:cs="Times New Roman"/>
          <w:b/>
          <w:sz w:val="26"/>
          <w:szCs w:val="26"/>
        </w:rPr>
      </w:pPr>
    </w:p>
    <w:sectPr w:rsidR="00FA1B5F" w:rsidRPr="0046168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54456" w14:textId="77777777" w:rsidR="00DC7188" w:rsidRDefault="00DC7188" w:rsidP="00FA1B5F">
      <w:pPr>
        <w:spacing w:after="0" w:line="240" w:lineRule="auto"/>
      </w:pPr>
      <w:r>
        <w:separator/>
      </w:r>
    </w:p>
  </w:endnote>
  <w:endnote w:type="continuationSeparator" w:id="0">
    <w:p w14:paraId="3072C522" w14:textId="77777777" w:rsidR="00DC7188" w:rsidRDefault="00DC7188" w:rsidP="00FA1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A38DF" w14:textId="77777777" w:rsidR="00DC7188" w:rsidRDefault="00DC7188" w:rsidP="00FA1B5F">
      <w:pPr>
        <w:spacing w:after="0" w:line="240" w:lineRule="auto"/>
      </w:pPr>
      <w:r>
        <w:separator/>
      </w:r>
    </w:p>
  </w:footnote>
  <w:footnote w:type="continuationSeparator" w:id="0">
    <w:p w14:paraId="6EE860BC" w14:textId="77777777" w:rsidR="00DC7188" w:rsidRDefault="00DC7188" w:rsidP="00FA1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44B99" w14:textId="34244639" w:rsidR="00FA1B5F" w:rsidRPr="00FA1B5F" w:rsidRDefault="00BF5D03" w:rsidP="00FA1B5F">
    <w:pPr>
      <w:pStyle w:val="Header"/>
      <w:rPr>
        <w:i/>
        <w:sz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4DAEEE4" wp14:editId="105E04BC">
          <wp:simplePos x="0" y="0"/>
          <wp:positionH relativeFrom="column">
            <wp:posOffset>-476251</wp:posOffset>
          </wp:positionH>
          <wp:positionV relativeFrom="paragraph">
            <wp:posOffset>-123825</wp:posOffset>
          </wp:positionV>
          <wp:extent cx="1381125" cy="342763"/>
          <wp:effectExtent l="0" t="0" r="0" b="635"/>
          <wp:wrapNone/>
          <wp:docPr id="19234510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3451062" name="Picture 19234510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4102" cy="3459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1B5F">
      <w:tab/>
    </w:r>
    <w:r w:rsidR="00FA1B5F" w:rsidRPr="00FA1B5F">
      <w:rPr>
        <w:i/>
        <w:sz w:val="20"/>
      </w:rPr>
      <w:t xml:space="preserve">                    </w:t>
    </w:r>
    <w:r w:rsidR="0025599D">
      <w:rPr>
        <w:i/>
        <w:sz w:val="20"/>
      </w:rPr>
      <w:t xml:space="preserve">                            </w:t>
    </w:r>
    <w:r w:rsidR="00C816B6">
      <w:rPr>
        <w:i/>
        <w:sz w:val="20"/>
      </w:rPr>
      <w:t xml:space="preserve">                                                                      </w:t>
    </w:r>
    <w:r w:rsidR="00FA1B5F" w:rsidRPr="00FA1B5F">
      <w:rPr>
        <w:i/>
        <w:sz w:val="20"/>
      </w:rPr>
      <w:t>2</w:t>
    </w:r>
    <w:r w:rsidR="00FA1B5F" w:rsidRPr="00FA1B5F">
      <w:rPr>
        <w:i/>
        <w:sz w:val="18"/>
      </w:rPr>
      <w:t xml:space="preserve">026 </w:t>
    </w:r>
    <w:r w:rsidR="0025599D">
      <w:rPr>
        <w:i/>
        <w:sz w:val="18"/>
      </w:rPr>
      <w:t>CAMRET</w:t>
    </w:r>
    <w:r w:rsidR="00766D95">
      <w:rPr>
        <w:i/>
        <w:sz w:val="18"/>
      </w:rPr>
      <w:t xml:space="preserve">-OHI </w:t>
    </w:r>
    <w:r w:rsidR="00FA1B5F" w:rsidRPr="00FA1B5F">
      <w:rPr>
        <w:i/>
        <w:sz w:val="18"/>
      </w:rPr>
      <w:t xml:space="preserve">Conference · </w:t>
    </w:r>
    <w:r w:rsidR="00766D95">
      <w:rPr>
        <w:i/>
        <w:sz w:val="18"/>
      </w:rPr>
      <w:t>Sept 24</w:t>
    </w:r>
    <w:r w:rsidR="00FA1B5F" w:rsidRPr="00FA1B5F">
      <w:rPr>
        <w:i/>
        <w:sz w:val="18"/>
      </w:rPr>
      <w:t>-2</w:t>
    </w:r>
    <w:r w:rsidR="00766D95">
      <w:rPr>
        <w:i/>
        <w:sz w:val="18"/>
      </w:rPr>
      <w:t>5</w:t>
    </w:r>
    <w:r w:rsidR="00FA1B5F" w:rsidRPr="00FA1B5F">
      <w:rPr>
        <w:i/>
        <w:sz w:val="18"/>
      </w:rPr>
      <w:t>,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CBE"/>
    <w:rsid w:val="00046C7F"/>
    <w:rsid w:val="0025599D"/>
    <w:rsid w:val="00461683"/>
    <w:rsid w:val="004B0DE2"/>
    <w:rsid w:val="006E5EFB"/>
    <w:rsid w:val="0070725F"/>
    <w:rsid w:val="00766D95"/>
    <w:rsid w:val="00854CFB"/>
    <w:rsid w:val="00A0790E"/>
    <w:rsid w:val="00AA7568"/>
    <w:rsid w:val="00B24DB9"/>
    <w:rsid w:val="00BC6860"/>
    <w:rsid w:val="00BF5D03"/>
    <w:rsid w:val="00C57FAE"/>
    <w:rsid w:val="00C816B6"/>
    <w:rsid w:val="00CD59B6"/>
    <w:rsid w:val="00D65CBE"/>
    <w:rsid w:val="00DC7188"/>
    <w:rsid w:val="00DD1A21"/>
    <w:rsid w:val="00F86624"/>
    <w:rsid w:val="00FA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A30441"/>
  <w15:chartTrackingRefBased/>
  <w15:docId w15:val="{FE1FB851-532E-42A9-89D5-ED4306BEE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65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65CBE"/>
    <w:rPr>
      <w:i/>
      <w:iCs/>
    </w:rPr>
  </w:style>
  <w:style w:type="character" w:styleId="Strong">
    <w:name w:val="Strong"/>
    <w:basedOn w:val="DefaultParagraphFont"/>
    <w:uiPriority w:val="22"/>
    <w:qFormat/>
    <w:rsid w:val="00D65CBE"/>
    <w:rPr>
      <w:b/>
      <w:bCs/>
    </w:rPr>
  </w:style>
  <w:style w:type="character" w:styleId="Hyperlink">
    <w:name w:val="Hyperlink"/>
    <w:basedOn w:val="DefaultParagraphFont"/>
    <w:uiPriority w:val="99"/>
    <w:unhideWhenUsed/>
    <w:rsid w:val="00D65CB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1B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B5F"/>
  </w:style>
  <w:style w:type="paragraph" w:styleId="Footer">
    <w:name w:val="footer"/>
    <w:basedOn w:val="Normal"/>
    <w:link w:val="FooterChar"/>
    <w:uiPriority w:val="99"/>
    <w:unhideWhenUsed/>
    <w:rsid w:val="00FA1B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B5F"/>
  </w:style>
  <w:style w:type="table" w:styleId="TableGrid">
    <w:name w:val="Table Grid"/>
    <w:basedOn w:val="TableNormal"/>
    <w:uiPriority w:val="39"/>
    <w:rsid w:val="00FA1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4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Jega</dc:creator>
  <cp:keywords/>
  <dc:description/>
  <cp:lastModifiedBy>ANAS ABDULLAHI</cp:lastModifiedBy>
  <cp:revision>15</cp:revision>
  <dcterms:created xsi:type="dcterms:W3CDTF">2026-05-22T20:11:00Z</dcterms:created>
  <dcterms:modified xsi:type="dcterms:W3CDTF">2026-05-31T10:45:00Z</dcterms:modified>
</cp:coreProperties>
</file>